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174" w:right="3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III – BIBLIOGRAFIA</w:t>
      </w:r>
    </w:p>
    <w:p>
      <w:pPr>
        <w:pStyle w:val="normal1"/>
        <w:ind w:hanging="0" w:left="174" w:right="31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hanging="0" w:left="0" w:right="77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1. ANTUNES, Ricardo (org). Uberização, trabalho digital e indústria 4.0. São Paulo: Boitempo, 2020. pp 13-33; 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hanging="0" w:left="0" w:right="775"/>
        <w:rPr>
          <w:b/>
          <w:sz w:val="23"/>
          <w:szCs w:val="23"/>
        </w:rPr>
      </w:pPr>
      <w:r>
        <w:rPr>
          <w:b/>
          <w:sz w:val="23"/>
          <w:szCs w:val="23"/>
        </w:rPr>
        <w:t>2. BUTLER, Judith. Quadros de Guerra. Quando a vida é passível de luto? São Paulo: Civilização Brasileira, 2015, pp. 13-97.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>3. LEJANO, Raul. Parâmetros para análise de políticas: fusão de texto e contexto. Campinas: Arte Escrita, 2012. Introdução (pp.11 a 27) e pp193-291.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>4.GONZALEZ, Lélia. A Categoria Político-cultural da Amefricanidade. In: Tempo Brasileiro. Rio de Janeiro, no. 92/93, 1988, 69-82.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>5. HERRERA-FLORES, Joaquin. A (re)invenção dos direitos humanos. Florianópolis: Fundação Boiteux, IDHID, 2009.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KRENAK, Ailton. Ideias para adiar o fim do mundo. São Paulo: Companhia das Letras, 2020. 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>7.  MBEMBE, Achille. Brutalismo. São Paulo: N1 Edições. 2022.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PRECIADO, Paul. Eu sou o monstro que vos fala. Cadernos PET Filosofia, Curitiba, v.22, n.1, 2021 (2022), pp. 278-331. 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>9. SEGATO, R. Gênero e colonialidade: em busca de chaves de leitura e de um vocabulário estratégico descolonial. Epistemologias feministas: ao encontro da crítica radical. E-cadernos ces, vol.18, 2012.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10. SOUZA, Celina. Políticas Públicas, uma revisão da literatura. Sociologias, Porto Alegre, ano 8, nº 16, jul/dez 2006, p. 20-45 </w:t>
      </w:r>
    </w:p>
    <w:p>
      <w:pPr>
        <w:pStyle w:val="normal1"/>
        <w:tabs>
          <w:tab w:val="clear" w:pos="709"/>
          <w:tab w:val="left" w:pos="461" w:leader="none"/>
        </w:tabs>
        <w:spacing w:lineRule="auto" w:line="240" w:before="228" w:after="0"/>
        <w:ind w:right="775"/>
        <w:rPr>
          <w:b/>
          <w:sz w:val="23"/>
          <w:szCs w:val="23"/>
        </w:rPr>
      </w:pPr>
      <w:r>
        <w:rPr>
          <w:b/>
          <w:sz w:val="23"/>
          <w:szCs w:val="23"/>
        </w:rPr>
        <w:t>11. WACQUANT, L. Forjando o estado neoliberal: trabalho social, regime prisional e insegurança social. In: MALAGUTI BATISTA, Vera (Org.). Loic Wacquant e a questão penal no capitalismo neoliberal. Org. Vera Malaguti Batista. Rio de Janeiro: Revan, 2012, pp. 11-42.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225</Words>
  <Characters>1294</Characters>
  <CharactersWithSpaces>1513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2025-07-16T14:50:26Z</dcterms:created>
  <dc:creator/>
  <dc:description/>
  <dc:language>pt-BR</dc:language>
  <cp:lastModifiedBy/>
  <dcterms:modified xsi:type="dcterms:W3CDTF">2025-07-16T14:50:44Z</dcterms:modified>
  <cp:revision>1</cp:revision>
  <dc:subject/>
  <dc:title/>
</cp:coreProperties>
</file>